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28"/>
          <w:szCs w:val="28"/>
        </w:rPr>
      </w:pPr>
      <w:r>
        <w:rPr>
          <w:rFonts w:hint="eastAsia"/>
          <w:b/>
          <w:sz w:val="28"/>
          <w:szCs w:val="28"/>
        </w:rPr>
        <w:t>厦门大学本科课程大纲</w:t>
      </w:r>
    </w:p>
    <w:p>
      <w:pPr>
        <w:spacing w:line="360" w:lineRule="auto"/>
        <w:jc w:val="center"/>
        <w:rPr>
          <w:b/>
          <w:sz w:val="28"/>
          <w:szCs w:val="28"/>
        </w:rPr>
      </w:pPr>
      <w:r>
        <w:rPr>
          <w:rFonts w:hint="eastAsia"/>
          <w:b/>
          <w:sz w:val="28"/>
          <w:szCs w:val="28"/>
        </w:rPr>
        <w:t>XMU Undergraduate Course Syllabus</w:t>
      </w:r>
    </w:p>
    <w:tbl>
      <w:tblPr>
        <w:tblStyle w:val="9"/>
        <w:tblpPr w:leftFromText="180" w:rightFromText="180" w:vertAnchor="text" w:horzAnchor="margin" w:tblpXSpec="center" w:tblpY="62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3"/>
        <w:gridCol w:w="2129"/>
        <w:gridCol w:w="1699"/>
        <w:gridCol w:w="1270"/>
        <w:gridCol w:w="429"/>
        <w:gridCol w:w="19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课程名称</w:t>
            </w:r>
          </w:p>
          <w:p>
            <w:pPr>
              <w:jc w:val="left"/>
              <w:rPr>
                <w:szCs w:val="21"/>
              </w:rPr>
            </w:pPr>
            <w:r>
              <w:rPr>
                <w:rFonts w:hint="eastAsia"/>
                <w:szCs w:val="21"/>
              </w:rPr>
              <w:t>Course title (in Chinese &amp; English)</w:t>
            </w:r>
          </w:p>
        </w:tc>
        <w:tc>
          <w:tcPr>
            <w:tcW w:w="7514" w:type="dxa"/>
            <w:gridSpan w:val="5"/>
            <w:tcBorders>
              <w:top w:val="single" w:color="auto" w:sz="4" w:space="0"/>
              <w:left w:val="single" w:color="auto" w:sz="4" w:space="0"/>
              <w:bottom w:val="single" w:color="auto" w:sz="4" w:space="0"/>
              <w:right w:val="single" w:color="auto" w:sz="4" w:space="0"/>
            </w:tcBorders>
            <w:vAlign w:val="center"/>
          </w:tcPr>
          <w:p>
            <w:pPr>
              <w:jc w:val="left"/>
              <w:rPr>
                <w:szCs w:val="21"/>
              </w:rPr>
            </w:pPr>
            <w:r>
              <w:rPr>
                <w:rFonts w:hint="eastAsia"/>
                <w:szCs w:val="21"/>
              </w:rPr>
              <w:t xml:space="preserve">中国经济 </w:t>
            </w:r>
          </w:p>
          <w:p>
            <w:pPr>
              <w:jc w:val="left"/>
              <w:rPr>
                <w:szCs w:val="21"/>
              </w:rPr>
            </w:pPr>
            <w:r>
              <w:rPr>
                <w:rFonts w:hint="eastAsia"/>
                <w:szCs w:val="21"/>
              </w:rPr>
              <w:t>Chinese Economy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86"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课程编号</w:t>
            </w:r>
          </w:p>
          <w:p>
            <w:pPr>
              <w:jc w:val="left"/>
              <w:rPr>
                <w:szCs w:val="21"/>
              </w:rPr>
            </w:pPr>
            <w:r>
              <w:rPr>
                <w:rFonts w:hint="eastAsia"/>
                <w:szCs w:val="21"/>
              </w:rPr>
              <w:t>Course number</w:t>
            </w:r>
          </w:p>
        </w:tc>
        <w:tc>
          <w:tcPr>
            <w:tcW w:w="3828" w:type="dxa"/>
            <w:gridSpan w:val="2"/>
            <w:tcBorders>
              <w:top w:val="single" w:color="auto" w:sz="4" w:space="0"/>
              <w:left w:val="single" w:color="auto" w:sz="4" w:space="0"/>
              <w:bottom w:val="single" w:color="auto" w:sz="4" w:space="0"/>
              <w:right w:val="single" w:color="auto" w:sz="4" w:space="0"/>
            </w:tcBorders>
            <w:vAlign w:val="center"/>
          </w:tcPr>
          <w:p>
            <w:pPr>
              <w:jc w:val="left"/>
              <w:rPr>
                <w:color w:val="FF0000"/>
                <w:szCs w:val="21"/>
              </w:rPr>
            </w:pPr>
          </w:p>
          <w:p>
            <w:pPr>
              <w:jc w:val="left"/>
              <w:rPr>
                <w:szCs w:val="21"/>
              </w:rPr>
            </w:pPr>
          </w:p>
        </w:tc>
        <w:tc>
          <w:tcPr>
            <w:tcW w:w="1699" w:type="dxa"/>
            <w:gridSpan w:val="2"/>
            <w:tcBorders>
              <w:top w:val="single" w:color="auto" w:sz="4" w:space="0"/>
              <w:left w:val="single" w:color="auto" w:sz="4" w:space="0"/>
              <w:bottom w:val="single" w:color="auto" w:sz="4" w:space="0"/>
              <w:right w:val="single" w:color="auto" w:sz="4" w:space="0"/>
            </w:tcBorders>
            <w:vAlign w:val="center"/>
          </w:tcPr>
          <w:p>
            <w:pPr>
              <w:jc w:val="left"/>
              <w:rPr>
                <w:szCs w:val="21"/>
              </w:rPr>
            </w:pPr>
            <w:r>
              <w:rPr>
                <w:rFonts w:hint="eastAsia"/>
                <w:szCs w:val="21"/>
              </w:rPr>
              <w:t>学分</w:t>
            </w:r>
            <w:r>
              <w:rPr>
                <w:szCs w:val="21"/>
              </w:rPr>
              <w:t>/</w:t>
            </w:r>
            <w:r>
              <w:rPr>
                <w:rFonts w:hint="eastAsia"/>
                <w:szCs w:val="21"/>
              </w:rPr>
              <w:t>周学时</w:t>
            </w:r>
          </w:p>
          <w:p>
            <w:pPr>
              <w:jc w:val="left"/>
              <w:rPr>
                <w:szCs w:val="21"/>
              </w:rPr>
            </w:pPr>
            <w:r>
              <w:rPr>
                <w:rFonts w:hint="eastAsia"/>
                <w:szCs w:val="21"/>
              </w:rPr>
              <w:t>Credit/weekly teaching hour</w:t>
            </w:r>
            <w:r>
              <w:rPr>
                <w:szCs w:val="21"/>
              </w:rPr>
              <w:t xml:space="preserve">  </w:t>
            </w:r>
          </w:p>
        </w:tc>
        <w:tc>
          <w:tcPr>
            <w:tcW w:w="1987" w:type="dxa"/>
            <w:tcBorders>
              <w:top w:val="single" w:color="auto" w:sz="4" w:space="0"/>
              <w:left w:val="single" w:color="auto" w:sz="4" w:space="0"/>
              <w:bottom w:val="single" w:color="auto" w:sz="4" w:space="0"/>
              <w:right w:val="single" w:color="auto" w:sz="4" w:space="0"/>
            </w:tcBorders>
            <w:vAlign w:val="center"/>
          </w:tcPr>
          <w:p>
            <w:pPr>
              <w:ind w:left="207"/>
              <w:jc w:val="left"/>
              <w:rPr>
                <w:szCs w:val="21"/>
              </w:rPr>
            </w:pPr>
            <w:r>
              <w:rPr>
                <w:rFonts w:hint="eastAsia"/>
                <w:szCs w:val="21"/>
              </w:rPr>
              <w:t>3 credit /4 teaching hours per week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开课学期</w:t>
            </w:r>
          </w:p>
          <w:p>
            <w:pPr>
              <w:jc w:val="left"/>
              <w:rPr>
                <w:szCs w:val="21"/>
              </w:rPr>
            </w:pPr>
            <w:r>
              <w:rPr>
                <w:rFonts w:hint="eastAsia"/>
                <w:szCs w:val="21"/>
              </w:rPr>
              <w:t>Semester</w:t>
            </w:r>
          </w:p>
        </w:tc>
        <w:tc>
          <w:tcPr>
            <w:tcW w:w="2129" w:type="dxa"/>
            <w:tcBorders>
              <w:top w:val="single" w:color="auto" w:sz="4" w:space="0"/>
              <w:left w:val="single" w:color="auto" w:sz="4" w:space="0"/>
              <w:bottom w:val="single" w:color="auto" w:sz="4" w:space="0"/>
              <w:right w:val="single" w:color="auto" w:sz="4" w:space="0"/>
            </w:tcBorders>
            <w:vAlign w:val="center"/>
          </w:tcPr>
          <w:p>
            <w:pPr>
              <w:jc w:val="left"/>
              <w:rPr>
                <w:szCs w:val="21"/>
              </w:rPr>
            </w:pPr>
            <w:r>
              <w:rPr>
                <w:rFonts w:hint="eastAsia"/>
                <w:szCs w:val="21"/>
              </w:rPr>
              <w:t xml:space="preserve">秋季 </w:t>
            </w:r>
          </w:p>
          <w:p>
            <w:pPr>
              <w:jc w:val="left"/>
              <w:rPr>
                <w:szCs w:val="21"/>
              </w:rPr>
            </w:pPr>
            <w:r>
              <w:rPr>
                <w:rFonts w:hint="eastAsia"/>
                <w:szCs w:val="21"/>
              </w:rPr>
              <w:t>Fall</w:t>
            </w:r>
          </w:p>
        </w:tc>
        <w:tc>
          <w:tcPr>
            <w:tcW w:w="1699" w:type="dxa"/>
            <w:tcBorders>
              <w:top w:val="single" w:color="auto" w:sz="4" w:space="0"/>
              <w:left w:val="single" w:color="auto" w:sz="4" w:space="0"/>
              <w:bottom w:val="single" w:color="auto" w:sz="4" w:space="0"/>
              <w:right w:val="single" w:color="auto" w:sz="4" w:space="0"/>
            </w:tcBorders>
            <w:vAlign w:val="center"/>
          </w:tcPr>
          <w:p>
            <w:pPr>
              <w:jc w:val="left"/>
              <w:rPr>
                <w:szCs w:val="21"/>
              </w:rPr>
            </w:pPr>
            <w:r>
              <w:rPr>
                <w:rFonts w:hint="eastAsia"/>
                <w:szCs w:val="21"/>
              </w:rPr>
              <w:t>开课学年</w:t>
            </w:r>
          </w:p>
          <w:p>
            <w:pPr>
              <w:jc w:val="left"/>
              <w:rPr>
                <w:szCs w:val="21"/>
              </w:rPr>
            </w:pPr>
            <w:r>
              <w:rPr>
                <w:rFonts w:hint="eastAsia"/>
                <w:szCs w:val="21"/>
              </w:rPr>
              <w:t>Academic year</w:t>
            </w:r>
          </w:p>
        </w:tc>
        <w:tc>
          <w:tcPr>
            <w:tcW w:w="3686" w:type="dxa"/>
            <w:gridSpan w:val="3"/>
            <w:tcBorders>
              <w:top w:val="single" w:color="auto" w:sz="4" w:space="0"/>
              <w:left w:val="single" w:color="auto" w:sz="4" w:space="0"/>
              <w:bottom w:val="single" w:color="auto" w:sz="4" w:space="0"/>
              <w:right w:val="single" w:color="auto" w:sz="4" w:space="0"/>
            </w:tcBorders>
            <w:vAlign w:val="center"/>
          </w:tcPr>
          <w:p>
            <w:pPr>
              <w:jc w:val="left"/>
              <w:rPr>
                <w:szCs w:val="21"/>
              </w:rPr>
            </w:pPr>
            <w:r>
              <w:rPr>
                <w:rFonts w:hint="eastAsia"/>
                <w:szCs w:val="21"/>
              </w:rPr>
              <w:t>201</w:t>
            </w:r>
            <w:r>
              <w:rPr>
                <w:rFonts w:hint="eastAsia"/>
                <w:szCs w:val="21"/>
                <w:lang w:val="en-US" w:eastAsia="zh-CN"/>
              </w:rPr>
              <w:t>7</w:t>
            </w:r>
            <w:r>
              <w:rPr>
                <w:rFonts w:hint="eastAsia"/>
                <w:szCs w:val="21"/>
              </w:rPr>
              <w:t>-201</w:t>
            </w:r>
            <w:r>
              <w:rPr>
                <w:rFonts w:hint="eastAsia"/>
                <w:szCs w:val="21"/>
                <w:lang w:val="en-US" w:eastAsia="zh-CN"/>
              </w:rPr>
              <w:t>8</w:t>
            </w:r>
            <w:bookmarkStart w:id="2" w:name="_GoBack"/>
            <w:bookmarkEnd w:id="2"/>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课程类型 Course type</w:t>
            </w:r>
          </w:p>
        </w:tc>
        <w:tc>
          <w:tcPr>
            <w:tcW w:w="7514" w:type="dxa"/>
            <w:gridSpan w:val="5"/>
            <w:tcBorders>
              <w:top w:val="single" w:color="auto" w:sz="4" w:space="0"/>
              <w:left w:val="single" w:color="auto" w:sz="4" w:space="0"/>
              <w:bottom w:val="single" w:color="auto" w:sz="4" w:space="0"/>
              <w:right w:val="single" w:color="auto" w:sz="4" w:space="0"/>
            </w:tcBorders>
            <w:vAlign w:val="center"/>
          </w:tcPr>
          <w:p>
            <w:pPr>
              <w:jc w:val="left"/>
              <w:rPr>
                <w:szCs w:val="21"/>
              </w:rPr>
            </w:pPr>
            <w:r>
              <w:rPr>
                <w:rFonts w:hint="eastAsia"/>
                <w:szCs w:val="21"/>
              </w:rPr>
              <w:t>学科类通修课程 Compulsory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 xml:space="preserve">先修课程 </w:t>
            </w:r>
            <w:r>
              <w:rPr>
                <w:szCs w:val="21"/>
              </w:rPr>
              <w:t xml:space="preserve"> </w:t>
            </w:r>
            <w:r>
              <w:rPr>
                <w:rFonts w:hint="eastAsia"/>
                <w:szCs w:val="21"/>
              </w:rPr>
              <w:t>P</w:t>
            </w:r>
            <w:r>
              <w:rPr>
                <w:szCs w:val="21"/>
              </w:rPr>
              <w:t>rerequisite course</w:t>
            </w:r>
          </w:p>
        </w:tc>
        <w:tc>
          <w:tcPr>
            <w:tcW w:w="7514" w:type="dxa"/>
            <w:gridSpan w:val="5"/>
            <w:tcBorders>
              <w:top w:val="single" w:color="auto" w:sz="4" w:space="0"/>
              <w:left w:val="single" w:color="auto" w:sz="4" w:space="0"/>
              <w:bottom w:val="single" w:color="auto" w:sz="4" w:space="0"/>
              <w:right w:val="single" w:color="auto" w:sz="4" w:space="0"/>
            </w:tcBorders>
            <w:vAlign w:val="center"/>
          </w:tcPr>
          <w:p>
            <w:pPr>
              <w:jc w:val="left"/>
              <w:rPr>
                <w:szCs w:val="21"/>
              </w:rPr>
            </w:pPr>
            <w:r>
              <w:rPr>
                <w:rFonts w:hint="eastAsia"/>
                <w:szCs w:val="21"/>
              </w:rPr>
              <w:t>经济学原理 Principle of Economics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 xml:space="preserve">选用教材 </w:t>
            </w:r>
          </w:p>
          <w:p>
            <w:pPr>
              <w:jc w:val="left"/>
              <w:rPr>
                <w:szCs w:val="21"/>
              </w:rPr>
            </w:pPr>
            <w:r>
              <w:rPr>
                <w:rFonts w:hint="eastAsia"/>
                <w:szCs w:val="21"/>
              </w:rPr>
              <w:t>Required textbook</w:t>
            </w:r>
          </w:p>
        </w:tc>
        <w:tc>
          <w:tcPr>
            <w:tcW w:w="7514" w:type="dxa"/>
            <w:gridSpan w:val="5"/>
            <w:tcBorders>
              <w:top w:val="single" w:color="auto" w:sz="4" w:space="0"/>
              <w:left w:val="single" w:color="auto" w:sz="4" w:space="0"/>
              <w:bottom w:val="single" w:color="auto" w:sz="4" w:space="0"/>
              <w:right w:val="single" w:color="auto" w:sz="4" w:space="0"/>
            </w:tcBorders>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选用教材（英文）</w:t>
            </w:r>
          </w:p>
          <w:p>
            <w:pPr>
              <w:jc w:val="left"/>
              <w:rPr>
                <w:szCs w:val="21"/>
              </w:rPr>
            </w:pPr>
            <w:r>
              <w:rPr>
                <w:rFonts w:hint="eastAsia"/>
                <w:szCs w:val="21"/>
              </w:rPr>
              <w:t>Required English-written textbook</w:t>
            </w:r>
          </w:p>
        </w:tc>
        <w:tc>
          <w:tcPr>
            <w:tcW w:w="7514" w:type="dxa"/>
            <w:gridSpan w:val="5"/>
            <w:tcBorders>
              <w:top w:val="single" w:color="auto" w:sz="4" w:space="0"/>
              <w:left w:val="single" w:color="auto" w:sz="4" w:space="0"/>
              <w:bottom w:val="single" w:color="auto" w:sz="4" w:space="0"/>
              <w:right w:val="single" w:color="auto" w:sz="4" w:space="0"/>
            </w:tcBorders>
            <w:vAlign w:val="center"/>
          </w:tcPr>
          <w:p>
            <w:pPr>
              <w:jc w:val="left"/>
              <w:rPr>
                <w:szCs w:val="21"/>
              </w:rPr>
            </w:pPr>
            <w:r>
              <w:rPr>
                <w:rFonts w:hint="eastAsia"/>
                <w:szCs w:val="21"/>
              </w:rPr>
              <w:t>中国经济：转型与增长 (MIT 出版社)</w:t>
            </w:r>
          </w:p>
          <w:p>
            <w:pPr>
              <w:jc w:val="left"/>
              <w:rPr>
                <w:szCs w:val="21"/>
              </w:rPr>
            </w:pPr>
            <w:r>
              <w:rPr>
                <w:rFonts w:hint="eastAsia"/>
                <w:szCs w:val="21"/>
              </w:rPr>
              <w:t>Barry Naughton, The Chinese Economy: Transition and Growth</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 xml:space="preserve">主要参考书 </w:t>
            </w:r>
          </w:p>
          <w:p>
            <w:pPr>
              <w:jc w:val="left"/>
              <w:rPr>
                <w:szCs w:val="21"/>
              </w:rPr>
            </w:pPr>
            <w:r>
              <w:rPr>
                <w:rFonts w:hint="eastAsia"/>
                <w:szCs w:val="21"/>
              </w:rPr>
              <w:t>Main reference book</w:t>
            </w:r>
          </w:p>
        </w:tc>
        <w:tc>
          <w:tcPr>
            <w:tcW w:w="7514" w:type="dxa"/>
            <w:gridSpan w:val="5"/>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吴敬琏，当代中国经济改革教程，上海远东出版社，2010</w:t>
            </w:r>
          </w:p>
          <w:p>
            <w:pPr>
              <w:jc w:val="left"/>
              <w:rPr>
                <w:szCs w:val="21"/>
              </w:rPr>
            </w:pPr>
            <w:r>
              <w:rPr>
                <w:rFonts w:hint="eastAsia"/>
                <w:szCs w:val="21"/>
              </w:rPr>
              <w:t>邹至庄，中国经济转型，中国人民大学出版社，2005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主要参考书（英文）</w:t>
            </w:r>
          </w:p>
          <w:p>
            <w:pPr>
              <w:jc w:val="left"/>
              <w:rPr>
                <w:szCs w:val="21"/>
              </w:rPr>
            </w:pPr>
            <w:r>
              <w:rPr>
                <w:rFonts w:hint="eastAsia"/>
                <w:szCs w:val="21"/>
              </w:rPr>
              <w:t xml:space="preserve">Main English-written reference book </w:t>
            </w:r>
          </w:p>
        </w:tc>
        <w:tc>
          <w:tcPr>
            <w:tcW w:w="7514" w:type="dxa"/>
            <w:gridSpan w:val="5"/>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Loren Brandt and Thomas Rawski. 2008. China's Great Economic Transformation, Cambridge University Press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9747" w:type="dxa"/>
            <w:gridSpan w:val="6"/>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一、</w:t>
            </w:r>
            <w:r>
              <w:rPr>
                <w:rFonts w:hint="eastAsia"/>
                <w:szCs w:val="21"/>
              </w:rPr>
              <w:t>课程性质、目的与任务 Course description and objectives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9747" w:type="dxa"/>
            <w:gridSpan w:val="6"/>
            <w:tcBorders>
              <w:top w:val="single" w:color="auto" w:sz="4" w:space="0"/>
              <w:left w:val="single" w:color="auto" w:sz="4" w:space="0"/>
              <w:bottom w:val="single" w:color="auto" w:sz="4" w:space="0"/>
              <w:right w:val="single" w:color="auto" w:sz="4" w:space="0"/>
            </w:tcBorders>
          </w:tcPr>
          <w:p>
            <w:pPr>
              <w:ind w:firstLine="420" w:firstLineChars="200"/>
              <w:jc w:val="left"/>
              <w:rPr>
                <w:bCs/>
                <w:szCs w:val="21"/>
              </w:rPr>
            </w:pPr>
            <w:r>
              <w:rPr>
                <w:rFonts w:hint="eastAsia"/>
                <w:bCs/>
                <w:szCs w:val="21"/>
              </w:rPr>
              <w:t>中文 (in Chinese)：</w:t>
            </w:r>
          </w:p>
          <w:p>
            <w:pPr>
              <w:ind w:firstLine="420" w:firstLineChars="200"/>
              <w:jc w:val="left"/>
              <w:rPr>
                <w:bCs/>
                <w:szCs w:val="21"/>
              </w:rPr>
            </w:pPr>
            <w:r>
              <w:rPr>
                <w:rFonts w:hint="eastAsia"/>
                <w:bCs/>
                <w:szCs w:val="21"/>
              </w:rPr>
              <w:t>本课程旨在介绍中国经济体系的历史和现状，学生能够从中了解中国经济增长的驱动力及体系、并利用理论和实证方法分析一些中国经济问题。本课程的内容从中国的地理、人文背景以及中国经济发展历史开始，随后重点分析几个主要经济主体（包括公司、政府和居民户）的行为及决策。此外，课程还将融合工业化、私有化、分权化和城镇化等经济趋势，分析其与经济发展的关系。最后，我们还将分析一些与中国经济相关的其他专题，如贸易、金融体系以及环境问题等。</w:t>
            </w:r>
          </w:p>
          <w:p>
            <w:pPr>
              <w:ind w:firstLine="420" w:firstLineChars="200"/>
              <w:jc w:val="left"/>
              <w:rPr>
                <w:bCs/>
                <w:szCs w:val="21"/>
              </w:rPr>
            </w:pPr>
            <w:r>
              <w:rPr>
                <w:rFonts w:hint="eastAsia"/>
                <w:bCs/>
                <w:szCs w:val="21"/>
              </w:rPr>
              <w:t xml:space="preserve">The course </w:t>
            </w:r>
            <w:r>
              <w:rPr>
                <w:bCs/>
                <w:szCs w:val="21"/>
              </w:rPr>
              <w:t>provides a general</w:t>
            </w:r>
            <w:r>
              <w:rPr>
                <w:rFonts w:hint="eastAsia"/>
                <w:bCs/>
                <w:szCs w:val="21"/>
              </w:rPr>
              <w:t xml:space="preserve"> </w:t>
            </w:r>
            <w:r>
              <w:rPr>
                <w:bCs/>
                <w:szCs w:val="21"/>
              </w:rPr>
              <w:t xml:space="preserve">introduction </w:t>
            </w:r>
            <w:r>
              <w:rPr>
                <w:rFonts w:hint="eastAsia"/>
                <w:bCs/>
                <w:szCs w:val="21"/>
              </w:rPr>
              <w:t>to</w:t>
            </w:r>
            <w:r>
              <w:rPr>
                <w:bCs/>
                <w:szCs w:val="21"/>
              </w:rPr>
              <w:t xml:space="preserve"> the background and current structure of Chinese economy. It aims to help students understanding sources of Chinese economic growth and analyzing economic problems in China using empirical and theoretical approaches.  </w:t>
            </w:r>
            <w:r>
              <w:rPr>
                <w:rFonts w:hint="eastAsia"/>
                <w:bCs/>
                <w:szCs w:val="21"/>
              </w:rPr>
              <w:t xml:space="preserve">After the training of the class, students should get a understanding of the Chinese economy and be able to use empirical or theoretical skills to analyze questions related to Chinese Economy. </w:t>
            </w:r>
            <w:r>
              <w:rPr>
                <w:bCs/>
                <w:szCs w:val="21"/>
              </w:rPr>
              <w:t>We will first cover the basic geographic</w:t>
            </w:r>
            <w:r>
              <w:rPr>
                <w:rFonts w:hint="eastAsia"/>
                <w:bCs/>
                <w:szCs w:val="21"/>
              </w:rPr>
              <w:t xml:space="preserve"> and </w:t>
            </w:r>
            <w:r>
              <w:rPr>
                <w:bCs/>
                <w:szCs w:val="21"/>
              </w:rPr>
              <w:t>demographic backgrounds</w:t>
            </w:r>
            <w:r>
              <w:rPr>
                <w:rFonts w:hint="eastAsia"/>
                <w:bCs/>
                <w:szCs w:val="21"/>
              </w:rPr>
              <w:t>,</w:t>
            </w:r>
            <w:r>
              <w:rPr>
                <w:bCs/>
                <w:szCs w:val="21"/>
              </w:rPr>
              <w:t xml:space="preserve"> and </w:t>
            </w:r>
            <w:r>
              <w:rPr>
                <w:rFonts w:hint="eastAsia"/>
                <w:bCs/>
                <w:szCs w:val="21"/>
              </w:rPr>
              <w:t xml:space="preserve">then a </w:t>
            </w:r>
            <w:r>
              <w:rPr>
                <w:bCs/>
                <w:szCs w:val="21"/>
              </w:rPr>
              <w:t>br</w:t>
            </w:r>
            <w:r>
              <w:rPr>
                <w:rFonts w:hint="eastAsia"/>
                <w:bCs/>
                <w:szCs w:val="21"/>
              </w:rPr>
              <w:t xml:space="preserve">ief introduction on economic </w:t>
            </w:r>
            <w:r>
              <w:rPr>
                <w:bCs/>
                <w:szCs w:val="21"/>
              </w:rPr>
              <w:t>growth</w:t>
            </w:r>
            <w:r>
              <w:rPr>
                <w:rFonts w:hint="eastAsia"/>
                <w:bCs/>
                <w:szCs w:val="21"/>
              </w:rPr>
              <w:t xml:space="preserve"> history in China. Following it, we will mainly explore the </w:t>
            </w:r>
            <w:r>
              <w:rPr>
                <w:bCs/>
                <w:szCs w:val="21"/>
              </w:rPr>
              <w:t>behavior</w:t>
            </w:r>
            <w:r>
              <w:rPr>
                <w:rFonts w:hint="eastAsia"/>
                <w:bCs/>
                <w:szCs w:val="21"/>
              </w:rPr>
              <w:t xml:space="preserve"> and </w:t>
            </w:r>
            <w:r>
              <w:rPr>
                <w:bCs/>
                <w:szCs w:val="21"/>
              </w:rPr>
              <w:t>decision</w:t>
            </w:r>
            <w:r>
              <w:rPr>
                <w:rFonts w:hint="eastAsia"/>
                <w:bCs/>
                <w:szCs w:val="21"/>
              </w:rPr>
              <w:t xml:space="preserve">-making of main players in the </w:t>
            </w:r>
            <w:r>
              <w:rPr>
                <w:bCs/>
                <w:szCs w:val="21"/>
              </w:rPr>
              <w:t>economy</w:t>
            </w:r>
            <w:r>
              <w:rPr>
                <w:rFonts w:hint="eastAsia"/>
                <w:bCs/>
                <w:szCs w:val="21"/>
              </w:rPr>
              <w:t xml:space="preserve">, </w:t>
            </w:r>
            <w:r>
              <w:rPr>
                <w:bCs/>
                <w:szCs w:val="21"/>
              </w:rPr>
              <w:t>including</w:t>
            </w:r>
            <w:r>
              <w:rPr>
                <w:rFonts w:hint="eastAsia"/>
                <w:bCs/>
                <w:szCs w:val="21"/>
              </w:rPr>
              <w:t xml:space="preserve"> firms, </w:t>
            </w:r>
            <w:r>
              <w:rPr>
                <w:bCs/>
                <w:szCs w:val="21"/>
              </w:rPr>
              <w:t>government</w:t>
            </w:r>
            <w:r>
              <w:rPr>
                <w:rFonts w:hint="eastAsia"/>
                <w:bCs/>
                <w:szCs w:val="21"/>
              </w:rPr>
              <w:t xml:space="preserve">s and </w:t>
            </w:r>
            <w:r>
              <w:rPr>
                <w:bCs/>
                <w:szCs w:val="21"/>
              </w:rPr>
              <w:t>household</w:t>
            </w:r>
            <w:r>
              <w:rPr>
                <w:rFonts w:hint="eastAsia"/>
                <w:bCs/>
                <w:szCs w:val="21"/>
              </w:rPr>
              <w:t xml:space="preserve">s. Throughout </w:t>
            </w:r>
            <w:r>
              <w:rPr>
                <w:bCs/>
                <w:szCs w:val="21"/>
              </w:rPr>
              <w:t>the</w:t>
            </w:r>
            <w:r>
              <w:rPr>
                <w:rFonts w:hint="eastAsia"/>
                <w:bCs/>
                <w:szCs w:val="21"/>
              </w:rPr>
              <w:t xml:space="preserve"> way, we will integrate industrialization, decentralization and </w:t>
            </w:r>
            <w:r>
              <w:rPr>
                <w:bCs/>
                <w:szCs w:val="21"/>
              </w:rPr>
              <w:t>urbanization</w:t>
            </w:r>
            <w:r>
              <w:rPr>
                <w:rFonts w:hint="eastAsia"/>
                <w:bCs/>
                <w:szCs w:val="21"/>
              </w:rPr>
              <w:t xml:space="preserve"> </w:t>
            </w:r>
            <w:r>
              <w:rPr>
                <w:bCs/>
                <w:szCs w:val="21"/>
              </w:rPr>
              <w:t>together</w:t>
            </w:r>
            <w:r>
              <w:rPr>
                <w:rFonts w:hint="eastAsia"/>
                <w:bCs/>
                <w:szCs w:val="21"/>
              </w:rPr>
              <w:t xml:space="preserve">. In the end, the course will cover specific fields including trade and </w:t>
            </w:r>
            <w:r>
              <w:rPr>
                <w:bCs/>
                <w:szCs w:val="21"/>
              </w:rPr>
              <w:t>financial</w:t>
            </w:r>
            <w:r>
              <w:rPr>
                <w:rFonts w:hint="eastAsia"/>
                <w:bCs/>
                <w:szCs w:val="21"/>
              </w:rPr>
              <w:t xml:space="preserve"> system in China.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9747" w:type="dxa"/>
            <w:gridSpan w:val="6"/>
            <w:tcBorders>
              <w:top w:val="single" w:color="auto" w:sz="4" w:space="0"/>
              <w:left w:val="single" w:color="auto" w:sz="4" w:space="0"/>
              <w:bottom w:val="single" w:color="auto" w:sz="4" w:space="0"/>
              <w:right w:val="single" w:color="auto" w:sz="4" w:space="0"/>
            </w:tcBorders>
          </w:tcPr>
          <w:p>
            <w:pPr>
              <w:rPr>
                <w:rFonts w:ascii="宋体" w:hAnsi="宋体"/>
                <w:szCs w:val="21"/>
              </w:rPr>
            </w:pPr>
            <w:r>
              <w:rPr>
                <w:rFonts w:hint="eastAsia"/>
                <w:bCs/>
                <w:szCs w:val="21"/>
              </w:rPr>
              <w:t>二、教学基本要求 Course requirements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9747" w:type="dxa"/>
            <w:gridSpan w:val="6"/>
            <w:tcBorders>
              <w:top w:val="single" w:color="auto" w:sz="4" w:space="0"/>
              <w:left w:val="single" w:color="auto" w:sz="4" w:space="0"/>
              <w:bottom w:val="single" w:color="auto" w:sz="4" w:space="0"/>
              <w:right w:val="single" w:color="auto" w:sz="4" w:space="0"/>
            </w:tcBorders>
          </w:tcPr>
          <w:p>
            <w:pPr>
              <w:ind w:firstLine="420" w:firstLineChars="200"/>
              <w:rPr>
                <w:bCs/>
                <w:szCs w:val="21"/>
              </w:rPr>
            </w:pPr>
            <w:r>
              <w:rPr>
                <w:rFonts w:hint="eastAsia"/>
                <w:bCs/>
                <w:szCs w:val="21"/>
              </w:rPr>
              <w:t>中文 (in Chinese)：</w:t>
            </w:r>
          </w:p>
          <w:p>
            <w:pPr>
              <w:ind w:firstLine="420" w:firstLineChars="200"/>
              <w:rPr>
                <w:bCs/>
                <w:szCs w:val="21"/>
              </w:rPr>
            </w:pPr>
            <w:r>
              <w:rPr>
                <w:rFonts w:hint="eastAsia"/>
                <w:bCs/>
                <w:szCs w:val="21"/>
              </w:rPr>
              <w:t>本课程为英文讲授，考核使用考试加论文应用综合方式。本课程主要教学内容包括以下几方面：</w:t>
            </w:r>
          </w:p>
          <w:p>
            <w:pPr>
              <w:ind w:firstLine="420" w:firstLineChars="200"/>
              <w:rPr>
                <w:bCs/>
                <w:szCs w:val="21"/>
              </w:rPr>
            </w:pPr>
            <w:r>
              <w:rPr>
                <w:rFonts w:hint="eastAsia"/>
                <w:bCs/>
                <w:szCs w:val="21"/>
              </w:rPr>
              <w:t>- 介绍中国经济发展历史、经济转型的原因和特征。在理论知识结合论文阅读基础上，使学生了解中国经济的相关背景和主要分析方法。</w:t>
            </w:r>
          </w:p>
          <w:p>
            <w:pPr>
              <w:ind w:firstLine="420" w:firstLineChars="200"/>
              <w:rPr>
                <w:bCs/>
                <w:szCs w:val="21"/>
              </w:rPr>
            </w:pPr>
            <w:r>
              <w:rPr>
                <w:rFonts w:hint="eastAsia"/>
                <w:bCs/>
                <w:szCs w:val="21"/>
              </w:rPr>
              <w:t>- 引导学生将所学方法和知识应用在实际中国经济问题中。通过作业、课堂讨论训练学生准确提出研究问题、增强学生利用相关分析工具和资料解决问题的能力。</w:t>
            </w:r>
          </w:p>
          <w:p>
            <w:pPr>
              <w:ind w:firstLine="420" w:firstLineChars="200"/>
              <w:rPr>
                <w:bCs/>
                <w:szCs w:val="21"/>
              </w:rPr>
            </w:pPr>
            <w:r>
              <w:rPr>
                <w:rFonts w:hint="eastAsia"/>
                <w:bCs/>
                <w:szCs w:val="21"/>
              </w:rPr>
              <w:t>- 培养学生就研究问题进行论文写作和陈述的能力。利用本课程中的小组研究合作和讨论，学生需要以3-4小组团队进行论文陈述，并独立书写论文。</w:t>
            </w:r>
          </w:p>
          <w:p>
            <w:pPr>
              <w:ind w:firstLine="420" w:firstLineChars="200"/>
              <w:rPr>
                <w:bCs/>
                <w:szCs w:val="21"/>
              </w:rPr>
            </w:pPr>
            <w:r>
              <w:rPr>
                <w:rFonts w:hint="eastAsia"/>
                <w:bCs/>
                <w:szCs w:val="21"/>
              </w:rPr>
              <w:t>The lectures will be in English. The overall evaluation is based on examination and term paper projects. The teaching of the class will focus on the following perspectives:</w:t>
            </w:r>
          </w:p>
          <w:p>
            <w:pPr>
              <w:ind w:firstLine="420" w:firstLineChars="200"/>
              <w:rPr>
                <w:bCs/>
                <w:szCs w:val="21"/>
              </w:rPr>
            </w:pPr>
            <w:r>
              <w:rPr>
                <w:rFonts w:hint="eastAsia"/>
                <w:bCs/>
                <w:szCs w:val="21"/>
              </w:rPr>
              <w:t>- Introduce basic knowledge on history and development of Chinese economy, main backgrounds and characteristics of economic transition. Supplemented by both class learning and paper readings, the class aims to train students on general knowledge and main methodologies related to Chinese economics issues.</w:t>
            </w:r>
          </w:p>
          <w:p>
            <w:pPr>
              <w:ind w:firstLine="420" w:firstLineChars="200"/>
              <w:rPr>
                <w:bCs/>
                <w:szCs w:val="21"/>
              </w:rPr>
            </w:pPr>
            <w:r>
              <w:rPr>
                <w:rFonts w:hint="eastAsia"/>
                <w:bCs/>
                <w:szCs w:val="21"/>
              </w:rPr>
              <w:t>- Guide students to apply knowledge and methodologies learnt on class to solve specific issues related to Chinese Economy. The course will enhance students' ability on raising specific economic questions and solving problems using analytical tools and materials, through homework and in-class discussions.</w:t>
            </w:r>
          </w:p>
          <w:p>
            <w:pPr>
              <w:ind w:firstLine="420" w:firstLineChars="200"/>
              <w:rPr>
                <w:bCs/>
                <w:szCs w:val="21"/>
              </w:rPr>
            </w:pPr>
            <w:r>
              <w:rPr>
                <w:rFonts w:hint="eastAsia"/>
                <w:bCs/>
                <w:szCs w:val="21"/>
              </w:rPr>
              <w:t>- Train students the ability on paper writing and presentation. Through team projects, students would present their research projects with 3-4 team members and finish the term paper independently.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9747" w:type="dxa"/>
            <w:gridSpan w:val="6"/>
            <w:tcBorders>
              <w:top w:val="single" w:color="auto" w:sz="4" w:space="0"/>
              <w:left w:val="single" w:color="auto" w:sz="4" w:space="0"/>
              <w:bottom w:val="single" w:color="auto" w:sz="4" w:space="0"/>
              <w:right w:val="single" w:color="auto" w:sz="4" w:space="0"/>
            </w:tcBorders>
          </w:tcPr>
          <w:p>
            <w:pPr>
              <w:rPr>
                <w:szCs w:val="21"/>
              </w:rPr>
            </w:pPr>
            <w:r>
              <w:rPr>
                <w:rFonts w:hint="eastAsia"/>
                <w:bCs/>
                <w:szCs w:val="21"/>
              </w:rPr>
              <w:t xml:space="preserve">三、主要内容及学时安排 Main content and schedule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trPr>
        <w:tc>
          <w:tcPr>
            <w:tcW w:w="2233" w:type="dxa"/>
            <w:tcBorders>
              <w:top w:val="single" w:color="auto" w:sz="4" w:space="0"/>
              <w:left w:val="single" w:color="auto" w:sz="4" w:space="0"/>
              <w:bottom w:val="single" w:color="auto" w:sz="4" w:space="0"/>
              <w:right w:val="single" w:color="auto" w:sz="4" w:space="0"/>
            </w:tcBorders>
          </w:tcPr>
          <w:p>
            <w:pPr>
              <w:jc w:val="center"/>
              <w:rPr>
                <w:bCs/>
                <w:szCs w:val="21"/>
              </w:rPr>
            </w:pPr>
            <w:r>
              <w:rPr>
                <w:rFonts w:hint="eastAsia"/>
                <w:bCs/>
                <w:szCs w:val="21"/>
              </w:rPr>
              <w:t>章或节Chapter/Session</w:t>
            </w:r>
          </w:p>
        </w:tc>
        <w:tc>
          <w:tcPr>
            <w:tcW w:w="5098" w:type="dxa"/>
            <w:gridSpan w:val="3"/>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 xml:space="preserve">主要内容 </w:t>
            </w:r>
          </w:p>
          <w:p>
            <w:pPr>
              <w:jc w:val="center"/>
              <w:rPr>
                <w:bCs/>
                <w:szCs w:val="21"/>
              </w:rPr>
            </w:pPr>
            <w:r>
              <w:rPr>
                <w:rFonts w:hint="eastAsia"/>
                <w:bCs/>
                <w:szCs w:val="21"/>
              </w:rPr>
              <w:t>Main Contents</w:t>
            </w:r>
          </w:p>
        </w:tc>
        <w:tc>
          <w:tcPr>
            <w:tcW w:w="2416" w:type="dxa"/>
            <w:gridSpan w:val="2"/>
            <w:tcBorders>
              <w:top w:val="single" w:color="auto" w:sz="4" w:space="0"/>
              <w:left w:val="single" w:color="auto" w:sz="4" w:space="0"/>
              <w:bottom w:val="single" w:color="auto" w:sz="4" w:space="0"/>
              <w:right w:val="single" w:color="auto" w:sz="4" w:space="0"/>
            </w:tcBorders>
          </w:tcPr>
          <w:p>
            <w:pPr>
              <w:jc w:val="center"/>
              <w:rPr>
                <w:bCs/>
                <w:szCs w:val="21"/>
              </w:rPr>
            </w:pPr>
            <w:r>
              <w:rPr>
                <w:rFonts w:hint="eastAsia"/>
                <w:bCs/>
                <w:szCs w:val="21"/>
              </w:rPr>
              <w:t>学时安排</w:t>
            </w:r>
          </w:p>
          <w:p>
            <w:pPr>
              <w:jc w:val="center"/>
              <w:rPr>
                <w:bCs/>
                <w:szCs w:val="21"/>
              </w:rPr>
            </w:pPr>
            <w:r>
              <w:rPr>
                <w:rFonts w:hint="eastAsia"/>
                <w:bCs/>
                <w:szCs w:val="21"/>
              </w:rPr>
              <w:t>Teaching hours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第一章</w:t>
            </w:r>
          </w:p>
          <w:p>
            <w:pPr>
              <w:jc w:val="left"/>
              <w:rPr>
                <w:szCs w:val="21"/>
              </w:rPr>
            </w:pPr>
            <w:r>
              <w:rPr>
                <w:rFonts w:hint="eastAsia"/>
                <w:szCs w:val="21"/>
              </w:rPr>
              <w:t>Chapter 1</w:t>
            </w:r>
          </w:p>
        </w:tc>
        <w:tc>
          <w:tcPr>
            <w:tcW w:w="5098" w:type="dxa"/>
            <w:gridSpan w:val="3"/>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中国经济简介</w:t>
            </w:r>
          </w:p>
          <w:p>
            <w:pPr>
              <w:jc w:val="left"/>
              <w:rPr>
                <w:szCs w:val="21"/>
              </w:rPr>
            </w:pPr>
            <w:r>
              <w:rPr>
                <w:rFonts w:hint="eastAsia"/>
                <w:szCs w:val="21"/>
              </w:rPr>
              <w:t>Introduction</w:t>
            </w: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第二章</w:t>
            </w:r>
          </w:p>
          <w:p>
            <w:pPr>
              <w:jc w:val="left"/>
              <w:rPr>
                <w:szCs w:val="21"/>
              </w:rPr>
            </w:pPr>
            <w:r>
              <w:rPr>
                <w:rFonts w:hint="eastAsia"/>
                <w:szCs w:val="21"/>
              </w:rPr>
              <w:t>Chapter 2</w:t>
            </w:r>
          </w:p>
        </w:tc>
        <w:tc>
          <w:tcPr>
            <w:tcW w:w="5098" w:type="dxa"/>
            <w:gridSpan w:val="3"/>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中国经济发展和历史回顾</w:t>
            </w:r>
          </w:p>
          <w:p>
            <w:pPr>
              <w:jc w:val="left"/>
              <w:rPr>
                <w:szCs w:val="21"/>
              </w:rPr>
            </w:pPr>
            <w:r>
              <w:rPr>
                <w:rFonts w:hint="eastAsia"/>
                <w:szCs w:val="21"/>
              </w:rPr>
              <w:t>Chinese Economic History</w:t>
            </w: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第三章</w:t>
            </w:r>
          </w:p>
          <w:p>
            <w:pPr>
              <w:jc w:val="left"/>
              <w:rPr>
                <w:szCs w:val="21"/>
              </w:rPr>
            </w:pPr>
            <w:r>
              <w:rPr>
                <w:rFonts w:hint="eastAsia"/>
                <w:szCs w:val="21"/>
              </w:rPr>
              <w:t>Chapter3</w:t>
            </w:r>
          </w:p>
        </w:tc>
        <w:tc>
          <w:tcPr>
            <w:tcW w:w="5098" w:type="dxa"/>
            <w:gridSpan w:val="3"/>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中国经济现状和中国数据</w:t>
            </w:r>
          </w:p>
          <w:p>
            <w:pPr>
              <w:jc w:val="left"/>
              <w:rPr>
                <w:szCs w:val="21"/>
              </w:rPr>
            </w:pPr>
            <w:r>
              <w:rPr>
                <w:rFonts w:hint="eastAsia"/>
                <w:szCs w:val="21"/>
              </w:rPr>
              <w:t>Economic Growth and Chinese Data</w:t>
            </w: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第四章</w:t>
            </w:r>
          </w:p>
          <w:p>
            <w:pPr>
              <w:jc w:val="left"/>
              <w:rPr>
                <w:szCs w:val="21"/>
              </w:rPr>
            </w:pPr>
            <w:r>
              <w:rPr>
                <w:rFonts w:hint="eastAsia"/>
                <w:szCs w:val="21"/>
              </w:rPr>
              <w:t>Chapter 4</w:t>
            </w:r>
          </w:p>
        </w:tc>
        <w:tc>
          <w:tcPr>
            <w:tcW w:w="5098" w:type="dxa"/>
            <w:gridSpan w:val="3"/>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中国企业</w:t>
            </w:r>
          </w:p>
          <w:p>
            <w:pPr>
              <w:jc w:val="left"/>
              <w:rPr>
                <w:szCs w:val="21"/>
              </w:rPr>
            </w:pPr>
            <w:r>
              <w:rPr>
                <w:rFonts w:hint="eastAsia"/>
                <w:szCs w:val="21"/>
              </w:rPr>
              <w:t>Firms</w:t>
            </w: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7.5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第五章</w:t>
            </w:r>
          </w:p>
          <w:p>
            <w:pPr>
              <w:jc w:val="left"/>
              <w:rPr>
                <w:szCs w:val="21"/>
              </w:rPr>
            </w:pPr>
            <w:r>
              <w:rPr>
                <w:rFonts w:hint="eastAsia"/>
                <w:szCs w:val="21"/>
              </w:rPr>
              <w:t>Chapter 5</w:t>
            </w:r>
          </w:p>
        </w:tc>
        <w:tc>
          <w:tcPr>
            <w:tcW w:w="5098" w:type="dxa"/>
            <w:gridSpan w:val="3"/>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中国城市化和全球化</w:t>
            </w:r>
          </w:p>
          <w:p>
            <w:pPr>
              <w:jc w:val="left"/>
              <w:rPr>
                <w:szCs w:val="21"/>
              </w:rPr>
            </w:pPr>
            <w:r>
              <w:rPr>
                <w:rFonts w:hint="eastAsia"/>
                <w:szCs w:val="21"/>
              </w:rPr>
              <w:t>Urbanization and Globalization</w:t>
            </w: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7.5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第六章</w:t>
            </w:r>
          </w:p>
          <w:p>
            <w:pPr>
              <w:jc w:val="left"/>
              <w:rPr>
                <w:szCs w:val="21"/>
              </w:rPr>
            </w:pPr>
            <w:r>
              <w:rPr>
                <w:rFonts w:hint="eastAsia"/>
                <w:szCs w:val="21"/>
              </w:rPr>
              <w:t>Chapter 6</w:t>
            </w:r>
          </w:p>
        </w:tc>
        <w:tc>
          <w:tcPr>
            <w:tcW w:w="5098" w:type="dxa"/>
            <w:gridSpan w:val="3"/>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中国政府</w:t>
            </w:r>
          </w:p>
          <w:p>
            <w:pPr>
              <w:jc w:val="left"/>
              <w:rPr>
                <w:szCs w:val="21"/>
              </w:rPr>
            </w:pPr>
            <w:r>
              <w:rPr>
                <w:rFonts w:hint="eastAsia"/>
                <w:szCs w:val="21"/>
              </w:rPr>
              <w:t>Governments and Institutions</w:t>
            </w: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第七章</w:t>
            </w:r>
          </w:p>
          <w:p>
            <w:pPr>
              <w:jc w:val="left"/>
              <w:rPr>
                <w:szCs w:val="21"/>
              </w:rPr>
            </w:pPr>
            <w:r>
              <w:rPr>
                <w:rFonts w:hint="eastAsia"/>
                <w:szCs w:val="21"/>
              </w:rPr>
              <w:t>Chapter 7</w:t>
            </w:r>
          </w:p>
        </w:tc>
        <w:tc>
          <w:tcPr>
            <w:tcW w:w="5098" w:type="dxa"/>
            <w:gridSpan w:val="3"/>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中国家庭</w:t>
            </w:r>
          </w:p>
          <w:p>
            <w:pPr>
              <w:jc w:val="left"/>
              <w:rPr>
                <w:szCs w:val="21"/>
              </w:rPr>
            </w:pPr>
            <w:r>
              <w:rPr>
                <w:rFonts w:hint="eastAsia"/>
                <w:szCs w:val="21"/>
              </w:rPr>
              <w:t>Households</w:t>
            </w: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第八章</w:t>
            </w:r>
          </w:p>
          <w:p>
            <w:pPr>
              <w:jc w:val="left"/>
              <w:rPr>
                <w:szCs w:val="21"/>
              </w:rPr>
            </w:pPr>
            <w:r>
              <w:rPr>
                <w:rFonts w:hint="eastAsia"/>
                <w:szCs w:val="21"/>
              </w:rPr>
              <w:t>Chapter 7</w:t>
            </w:r>
          </w:p>
        </w:tc>
        <w:tc>
          <w:tcPr>
            <w:tcW w:w="5098" w:type="dxa"/>
            <w:gridSpan w:val="3"/>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中国经济其他方面</w:t>
            </w:r>
          </w:p>
          <w:p>
            <w:pPr>
              <w:jc w:val="left"/>
              <w:rPr>
                <w:szCs w:val="21"/>
              </w:rPr>
            </w:pPr>
            <w:r>
              <w:rPr>
                <w:rFonts w:hint="eastAsia"/>
                <w:szCs w:val="21"/>
              </w:rPr>
              <w:t>Other perspectives: Environment, Financial System</w:t>
            </w: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第九章</w:t>
            </w:r>
          </w:p>
          <w:p>
            <w:pPr>
              <w:jc w:val="left"/>
              <w:rPr>
                <w:szCs w:val="21"/>
              </w:rPr>
            </w:pPr>
            <w:r>
              <w:rPr>
                <w:rFonts w:hint="eastAsia"/>
                <w:szCs w:val="21"/>
              </w:rPr>
              <w:t>Chapter 8</w:t>
            </w:r>
          </w:p>
        </w:tc>
        <w:tc>
          <w:tcPr>
            <w:tcW w:w="5098" w:type="dxa"/>
            <w:gridSpan w:val="3"/>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学生论文报告</w:t>
            </w:r>
          </w:p>
          <w:p>
            <w:pPr>
              <w:jc w:val="left"/>
              <w:rPr>
                <w:szCs w:val="21"/>
              </w:rPr>
            </w:pPr>
            <w:r>
              <w:rPr>
                <w:rFonts w:hint="eastAsia"/>
                <w:szCs w:val="21"/>
              </w:rPr>
              <w:t>Paper Presentation</w:t>
            </w: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7331" w:type="dxa"/>
            <w:gridSpan w:val="4"/>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合计：</w:t>
            </w: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42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9747" w:type="dxa"/>
            <w:gridSpan w:val="6"/>
            <w:tcBorders>
              <w:top w:val="single" w:color="auto" w:sz="4" w:space="0"/>
              <w:left w:val="single" w:color="auto" w:sz="4" w:space="0"/>
              <w:bottom w:val="single" w:color="auto" w:sz="4" w:space="0"/>
              <w:right w:val="single" w:color="auto" w:sz="4" w:space="0"/>
            </w:tcBorders>
          </w:tcPr>
          <w:p>
            <w:pPr>
              <w:rPr>
                <w:bCs/>
                <w:szCs w:val="21"/>
              </w:rPr>
            </w:pPr>
            <w:r>
              <w:rPr>
                <w:rFonts w:hint="eastAsia"/>
                <w:bCs/>
                <w:szCs w:val="21"/>
              </w:rPr>
              <w:t>四、考核方式：出勤5%+作业15%+期中考试30%+论文研究报告20%+论文30%</w:t>
            </w:r>
          </w:p>
          <w:p>
            <w:pPr>
              <w:rPr>
                <w:bCs/>
                <w:szCs w:val="21"/>
              </w:rPr>
            </w:pPr>
            <w:r>
              <w:rPr>
                <w:bCs/>
                <w:szCs w:val="21"/>
              </w:rPr>
              <w:t xml:space="preserve"> </w:t>
            </w:r>
            <w:r>
              <w:rPr>
                <w:rFonts w:hint="eastAsia"/>
                <w:bCs/>
                <w:szCs w:val="21"/>
              </w:rPr>
              <w:t>Grading policy: attendance 5%+ homework 15%+midterm 30%+presentation 20%+term paper30%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9747" w:type="dxa"/>
            <w:gridSpan w:val="6"/>
            <w:tcBorders>
              <w:top w:val="single" w:color="auto" w:sz="4" w:space="0"/>
              <w:left w:val="single" w:color="auto" w:sz="4" w:space="0"/>
              <w:bottom w:val="single" w:color="auto" w:sz="4" w:space="0"/>
              <w:right w:val="single" w:color="auto" w:sz="4" w:space="0"/>
            </w:tcBorders>
          </w:tcPr>
          <w:p>
            <w:pPr>
              <w:rPr>
                <w:bCs/>
                <w:szCs w:val="21"/>
              </w:rPr>
            </w:pPr>
            <w:r>
              <w:rPr>
                <w:rFonts w:hint="eastAsia"/>
                <w:bCs/>
                <w:szCs w:val="21"/>
              </w:rPr>
              <w:t>五、开课专业：亚南院经济学实验班</w:t>
            </w:r>
          </w:p>
          <w:p>
            <w:pPr>
              <w:rPr>
                <w:bCs/>
                <w:szCs w:val="21"/>
              </w:rPr>
            </w:pPr>
            <w:r>
              <w:rPr>
                <w:rFonts w:hint="eastAsia"/>
                <w:bCs/>
                <w:szCs w:val="21"/>
              </w:rPr>
              <w:t xml:space="preserve">Majors that the course is designed for    IUEC class in WISE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2" w:hRule="atLeast"/>
        </w:trPr>
        <w:tc>
          <w:tcPr>
            <w:tcW w:w="9747" w:type="dxa"/>
            <w:gridSpan w:val="6"/>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六、大纲制定者：      鲍小佳                      大纲审定者：</w:t>
            </w:r>
          </w:p>
          <w:p>
            <w:pPr>
              <w:rPr>
                <w:szCs w:val="21"/>
              </w:rPr>
            </w:pPr>
            <w:r>
              <w:rPr>
                <w:rFonts w:hint="eastAsia"/>
                <w:szCs w:val="21"/>
              </w:rPr>
              <w:t xml:space="preserve">    The syllabus is made by:  Xiaojia Bao               The syllabus is approved 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8" w:hRule="atLeast"/>
        </w:trPr>
        <w:tc>
          <w:tcPr>
            <w:tcW w:w="9747" w:type="dxa"/>
            <w:gridSpan w:val="6"/>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七、大纲制定时间：</w:t>
            </w:r>
          </w:p>
          <w:p>
            <w:pPr>
              <w:rPr>
                <w:szCs w:val="21"/>
              </w:rPr>
            </w:pPr>
            <w:r>
              <w:rPr>
                <w:rFonts w:hint="eastAsia"/>
                <w:szCs w:val="21"/>
              </w:rPr>
              <w:t xml:space="preserve">    The syllabus is made on:   2017 YY  08  MM   20 DD     </w:t>
            </w:r>
          </w:p>
        </w:tc>
      </w:tr>
    </w:tbl>
    <w:p>
      <w:pPr>
        <w:spacing w:line="360" w:lineRule="auto"/>
        <w:jc w:val="center"/>
        <w:rPr>
          <w:rFonts w:ascii="宋体" w:hAnsi="宋体"/>
          <w:sz w:val="24"/>
        </w:rPr>
      </w:pPr>
    </w:p>
    <w:p>
      <w:pPr>
        <w:spacing w:line="360" w:lineRule="auto"/>
        <w:jc w:val="center"/>
        <w:rPr>
          <w:rFonts w:ascii="宋体" w:hAnsi="宋体"/>
          <w:sz w:val="24"/>
        </w:rPr>
      </w:pPr>
      <w:r>
        <w:rPr>
          <w:rFonts w:hint="eastAsia" w:ascii="宋体" w:hAnsi="宋体"/>
          <w:sz w:val="24"/>
        </w:rPr>
        <w:t>厦门大学本科课程大纲填写说明：</w:t>
      </w:r>
    </w:p>
    <w:p>
      <w:pPr>
        <w:widowControl/>
        <w:numPr>
          <w:ilvl w:val="0"/>
          <w:numId w:val="1"/>
        </w:numPr>
        <w:spacing w:line="360" w:lineRule="auto"/>
        <w:jc w:val="left"/>
        <w:rPr>
          <w:rFonts w:ascii="宋体" w:hAnsi="宋体"/>
          <w:sz w:val="24"/>
        </w:rPr>
      </w:pPr>
      <w:r>
        <w:rPr>
          <w:rFonts w:hint="eastAsia" w:ascii="宋体" w:hAnsi="宋体"/>
          <w:sz w:val="24"/>
        </w:rPr>
        <w:t>课程中英文名称必须</w:t>
      </w:r>
      <w:bookmarkStart w:id="0" w:name="OLE_LINK1"/>
      <w:bookmarkStart w:id="1" w:name="OLE_LINK2"/>
      <w:r>
        <w:rPr>
          <w:rFonts w:hint="eastAsia" w:ascii="宋体" w:hAnsi="宋体"/>
          <w:sz w:val="24"/>
        </w:rPr>
        <w:t>准确、规范</w:t>
      </w:r>
      <w:bookmarkEnd w:id="0"/>
      <w:bookmarkEnd w:id="1"/>
      <w:r>
        <w:rPr>
          <w:rFonts w:hint="eastAsia" w:ascii="宋体" w:hAnsi="宋体"/>
          <w:sz w:val="24"/>
        </w:rPr>
        <w:t>。英文名称每个单词打头字母应用大写。</w:t>
      </w:r>
    </w:p>
    <w:p>
      <w:pPr>
        <w:widowControl/>
        <w:numPr>
          <w:ilvl w:val="0"/>
          <w:numId w:val="1"/>
        </w:numPr>
        <w:spacing w:line="360" w:lineRule="auto"/>
        <w:jc w:val="left"/>
        <w:rPr>
          <w:rFonts w:ascii="宋体" w:hAnsi="宋体"/>
          <w:sz w:val="24"/>
        </w:rPr>
      </w:pPr>
      <w:r>
        <w:rPr>
          <w:rFonts w:hint="eastAsia" w:ascii="宋体" w:hAnsi="宋体"/>
          <w:sz w:val="24"/>
        </w:rPr>
        <w:t>课程类型是指公共基本课程、校通识课程、院系通识课程、学科类通修课程或学科类方向性课程。</w:t>
      </w:r>
    </w:p>
    <w:p>
      <w:pPr>
        <w:widowControl/>
        <w:numPr>
          <w:ilvl w:val="0"/>
          <w:numId w:val="1"/>
        </w:numPr>
        <w:spacing w:line="360" w:lineRule="auto"/>
        <w:jc w:val="left"/>
        <w:rPr>
          <w:rFonts w:ascii="宋体" w:hAnsi="宋体"/>
          <w:sz w:val="24"/>
        </w:rPr>
      </w:pPr>
      <w:r>
        <w:rPr>
          <w:rFonts w:hint="eastAsia" w:ascii="宋体" w:hAnsi="宋体"/>
          <w:sz w:val="24"/>
        </w:rPr>
        <w:t>先修课程是与该课程具有严格的前后逻辑关系，非先修课程则无法学习该课程。</w:t>
      </w:r>
    </w:p>
    <w:p>
      <w:pPr>
        <w:widowControl/>
        <w:numPr>
          <w:ilvl w:val="0"/>
          <w:numId w:val="1"/>
        </w:numPr>
        <w:spacing w:line="360" w:lineRule="auto"/>
        <w:jc w:val="left"/>
        <w:rPr>
          <w:rFonts w:ascii="宋体" w:hAnsi="宋体"/>
          <w:sz w:val="24"/>
        </w:rPr>
      </w:pPr>
      <w:r>
        <w:rPr>
          <w:rFonts w:hint="eastAsia" w:ascii="宋体" w:hAnsi="宋体"/>
          <w:sz w:val="24"/>
        </w:rPr>
        <w:t>选用教材和主要参考书</w:t>
      </w:r>
      <w:r>
        <w:rPr>
          <w:rFonts w:hint="eastAsia" w:ascii="宋体" w:hAnsi="宋体"/>
          <w:bCs/>
          <w:sz w:val="24"/>
        </w:rPr>
        <w:t>要求注明作者、书目、出版社、出版年限</w:t>
      </w:r>
      <w:r>
        <w:rPr>
          <w:rFonts w:hint="eastAsia" w:ascii="宋体" w:hAnsi="宋体"/>
          <w:sz w:val="24"/>
        </w:rPr>
        <w:t>。例如，“黄叔武、杨一平编：《计算机网络工程教程》，1999年7月。”</w:t>
      </w:r>
    </w:p>
    <w:p>
      <w:pPr>
        <w:widowControl/>
        <w:numPr>
          <w:ilvl w:val="0"/>
          <w:numId w:val="1"/>
        </w:numPr>
        <w:spacing w:line="360" w:lineRule="auto"/>
        <w:jc w:val="left"/>
        <w:rPr>
          <w:rFonts w:ascii="宋体" w:hAnsi="宋体"/>
          <w:sz w:val="24"/>
        </w:rPr>
      </w:pPr>
      <w:r>
        <w:rPr>
          <w:rFonts w:hint="eastAsia" w:ascii="宋体" w:hAnsi="宋体"/>
          <w:sz w:val="24"/>
        </w:rPr>
        <w:t>开课专业必须明确，不能出现“等”字样，如“经济学、会计学等专业”。</w:t>
      </w:r>
    </w:p>
    <w:p>
      <w:pPr>
        <w:widowControl/>
        <w:numPr>
          <w:ilvl w:val="0"/>
          <w:numId w:val="1"/>
        </w:numPr>
        <w:spacing w:line="360" w:lineRule="auto"/>
        <w:jc w:val="left"/>
        <w:rPr>
          <w:rFonts w:ascii="宋体" w:hAnsi="宋体"/>
          <w:sz w:val="24"/>
        </w:rPr>
      </w:pPr>
      <w:r>
        <w:rPr>
          <w:rFonts w:hint="eastAsia" w:ascii="宋体" w:hAnsi="宋体"/>
          <w:sz w:val="24"/>
        </w:rPr>
        <w:t>课程性质、目的和任务不少于200字。</w:t>
      </w:r>
    </w:p>
    <w:p>
      <w:pPr>
        <w:widowControl/>
        <w:numPr>
          <w:ilvl w:val="0"/>
          <w:numId w:val="1"/>
        </w:numPr>
        <w:spacing w:line="360" w:lineRule="auto"/>
        <w:jc w:val="left"/>
        <w:rPr>
          <w:rFonts w:ascii="宋体" w:hAnsi="宋体"/>
          <w:sz w:val="24"/>
        </w:rPr>
      </w:pPr>
      <w:r>
        <w:rPr>
          <w:rFonts w:hint="eastAsia" w:ascii="宋体" w:hAnsi="宋体"/>
          <w:sz w:val="24"/>
        </w:rPr>
        <w:t>教学基本要求不少于400字。</w:t>
      </w:r>
    </w:p>
    <w:p>
      <w:pPr>
        <w:widowControl/>
        <w:numPr>
          <w:ilvl w:val="0"/>
          <w:numId w:val="1"/>
        </w:numPr>
        <w:spacing w:line="360" w:lineRule="auto"/>
        <w:jc w:val="left"/>
        <w:rPr>
          <w:rFonts w:ascii="宋体" w:hAnsi="宋体"/>
          <w:sz w:val="24"/>
        </w:rPr>
      </w:pPr>
      <w:r>
        <w:rPr>
          <w:rFonts w:hint="eastAsia" w:ascii="宋体" w:hAnsi="宋体"/>
          <w:sz w:val="24"/>
        </w:rPr>
        <w:t>考核方式是指笔试（开卷或闭卷）、口试或其它考查方式。</w:t>
      </w:r>
    </w:p>
    <w:p>
      <w:pPr>
        <w:widowControl/>
        <w:numPr>
          <w:ilvl w:val="0"/>
          <w:numId w:val="1"/>
        </w:numPr>
        <w:spacing w:line="360" w:lineRule="auto"/>
        <w:jc w:val="left"/>
      </w:pPr>
      <w:r>
        <w:rPr>
          <w:rFonts w:hint="eastAsia" w:ascii="宋体" w:hAnsi="宋体"/>
          <w:sz w:val="24"/>
        </w:rPr>
        <w:t>其它信息是指该课程获奖情况，例如“优秀课程”、“名牌课程”、“精品课程”或者“双语教学课程”等。获奖情况必须注明获奖等级、级别。</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w:t>
    </w:r>
    <w:r>
      <w:t xml:space="preserve"> 1 -</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7375F"/>
    <w:multiLevelType w:val="multilevel"/>
    <w:tmpl w:val="3F97375F"/>
    <w:lvl w:ilvl="0" w:tentative="0">
      <w:start w:val="1"/>
      <w:numFmt w:val="decimal"/>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029C"/>
    <w:rsid w:val="000148D1"/>
    <w:rsid w:val="00016A98"/>
    <w:rsid w:val="000271E6"/>
    <w:rsid w:val="00037B1E"/>
    <w:rsid w:val="00045E96"/>
    <w:rsid w:val="00073322"/>
    <w:rsid w:val="00073BDE"/>
    <w:rsid w:val="00077563"/>
    <w:rsid w:val="00077875"/>
    <w:rsid w:val="000910A6"/>
    <w:rsid w:val="000B173A"/>
    <w:rsid w:val="000C245F"/>
    <w:rsid w:val="000E2432"/>
    <w:rsid w:val="000E4745"/>
    <w:rsid w:val="000E6947"/>
    <w:rsid w:val="00110E0A"/>
    <w:rsid w:val="00114156"/>
    <w:rsid w:val="001304CD"/>
    <w:rsid w:val="00143F5A"/>
    <w:rsid w:val="00151ACA"/>
    <w:rsid w:val="00161C59"/>
    <w:rsid w:val="0016505E"/>
    <w:rsid w:val="00177073"/>
    <w:rsid w:val="0018465A"/>
    <w:rsid w:val="00187BF0"/>
    <w:rsid w:val="00193F4F"/>
    <w:rsid w:val="001A02A9"/>
    <w:rsid w:val="001D5738"/>
    <w:rsid w:val="001E2E90"/>
    <w:rsid w:val="001F375A"/>
    <w:rsid w:val="001F42E9"/>
    <w:rsid w:val="0022647C"/>
    <w:rsid w:val="0023285A"/>
    <w:rsid w:val="00241009"/>
    <w:rsid w:val="0024149C"/>
    <w:rsid w:val="002608FF"/>
    <w:rsid w:val="00263C7D"/>
    <w:rsid w:val="002644B9"/>
    <w:rsid w:val="002A2F95"/>
    <w:rsid w:val="002A3480"/>
    <w:rsid w:val="002A37F4"/>
    <w:rsid w:val="002F27A6"/>
    <w:rsid w:val="002F69BD"/>
    <w:rsid w:val="0032029C"/>
    <w:rsid w:val="003218CE"/>
    <w:rsid w:val="00324E02"/>
    <w:rsid w:val="00336103"/>
    <w:rsid w:val="0035566A"/>
    <w:rsid w:val="00360511"/>
    <w:rsid w:val="00364538"/>
    <w:rsid w:val="003706A8"/>
    <w:rsid w:val="00380375"/>
    <w:rsid w:val="0038374A"/>
    <w:rsid w:val="00390268"/>
    <w:rsid w:val="00390694"/>
    <w:rsid w:val="00395096"/>
    <w:rsid w:val="003A1CA0"/>
    <w:rsid w:val="003C7CE9"/>
    <w:rsid w:val="003E5275"/>
    <w:rsid w:val="00416184"/>
    <w:rsid w:val="004348B5"/>
    <w:rsid w:val="0044661E"/>
    <w:rsid w:val="00467658"/>
    <w:rsid w:val="00472755"/>
    <w:rsid w:val="004878FA"/>
    <w:rsid w:val="00492C44"/>
    <w:rsid w:val="004A7FAC"/>
    <w:rsid w:val="004B0F46"/>
    <w:rsid w:val="004C45C8"/>
    <w:rsid w:val="004D5FD9"/>
    <w:rsid w:val="004E7C5A"/>
    <w:rsid w:val="004F5D03"/>
    <w:rsid w:val="004F5F43"/>
    <w:rsid w:val="00500212"/>
    <w:rsid w:val="00505EB4"/>
    <w:rsid w:val="0051246C"/>
    <w:rsid w:val="005124F5"/>
    <w:rsid w:val="00522B8B"/>
    <w:rsid w:val="00532861"/>
    <w:rsid w:val="0053291D"/>
    <w:rsid w:val="00533B95"/>
    <w:rsid w:val="00537D5C"/>
    <w:rsid w:val="0054192A"/>
    <w:rsid w:val="00550A6B"/>
    <w:rsid w:val="005512D2"/>
    <w:rsid w:val="00556593"/>
    <w:rsid w:val="00565C49"/>
    <w:rsid w:val="005710A4"/>
    <w:rsid w:val="00576652"/>
    <w:rsid w:val="00582625"/>
    <w:rsid w:val="00584FCE"/>
    <w:rsid w:val="00586CEF"/>
    <w:rsid w:val="005A7A9A"/>
    <w:rsid w:val="005B5CF5"/>
    <w:rsid w:val="005C4565"/>
    <w:rsid w:val="005D071B"/>
    <w:rsid w:val="0060507A"/>
    <w:rsid w:val="00623E84"/>
    <w:rsid w:val="006421AC"/>
    <w:rsid w:val="006504E4"/>
    <w:rsid w:val="0065679B"/>
    <w:rsid w:val="0066715B"/>
    <w:rsid w:val="00676879"/>
    <w:rsid w:val="00692316"/>
    <w:rsid w:val="006A1A5C"/>
    <w:rsid w:val="006C5434"/>
    <w:rsid w:val="006F3851"/>
    <w:rsid w:val="00712F35"/>
    <w:rsid w:val="00721B9E"/>
    <w:rsid w:val="00737439"/>
    <w:rsid w:val="00760935"/>
    <w:rsid w:val="00775716"/>
    <w:rsid w:val="0079425C"/>
    <w:rsid w:val="007D44C7"/>
    <w:rsid w:val="007E390A"/>
    <w:rsid w:val="007F1F4E"/>
    <w:rsid w:val="007F3326"/>
    <w:rsid w:val="007F63D2"/>
    <w:rsid w:val="00805705"/>
    <w:rsid w:val="00805EF8"/>
    <w:rsid w:val="008135C2"/>
    <w:rsid w:val="00830CC1"/>
    <w:rsid w:val="0083462E"/>
    <w:rsid w:val="00850F15"/>
    <w:rsid w:val="0085332D"/>
    <w:rsid w:val="00867293"/>
    <w:rsid w:val="00887BD7"/>
    <w:rsid w:val="00895FEF"/>
    <w:rsid w:val="008A0E4F"/>
    <w:rsid w:val="008A7056"/>
    <w:rsid w:val="008E15FB"/>
    <w:rsid w:val="008E1EED"/>
    <w:rsid w:val="008F58E3"/>
    <w:rsid w:val="009101D4"/>
    <w:rsid w:val="00913EDF"/>
    <w:rsid w:val="00920048"/>
    <w:rsid w:val="00931FE5"/>
    <w:rsid w:val="0093639F"/>
    <w:rsid w:val="00951D11"/>
    <w:rsid w:val="0095756C"/>
    <w:rsid w:val="00990524"/>
    <w:rsid w:val="009974C1"/>
    <w:rsid w:val="009B55CD"/>
    <w:rsid w:val="009D4B7F"/>
    <w:rsid w:val="009E4178"/>
    <w:rsid w:val="009E76B5"/>
    <w:rsid w:val="00A01BAA"/>
    <w:rsid w:val="00A23DC1"/>
    <w:rsid w:val="00A35AED"/>
    <w:rsid w:val="00A3727A"/>
    <w:rsid w:val="00A60589"/>
    <w:rsid w:val="00A85690"/>
    <w:rsid w:val="00A868C5"/>
    <w:rsid w:val="00A87358"/>
    <w:rsid w:val="00A94058"/>
    <w:rsid w:val="00A94BCD"/>
    <w:rsid w:val="00AD0D6D"/>
    <w:rsid w:val="00AE3279"/>
    <w:rsid w:val="00AE523E"/>
    <w:rsid w:val="00AF66B9"/>
    <w:rsid w:val="00B22B70"/>
    <w:rsid w:val="00B25D5C"/>
    <w:rsid w:val="00B5115E"/>
    <w:rsid w:val="00B56CC9"/>
    <w:rsid w:val="00B61DEF"/>
    <w:rsid w:val="00B659D8"/>
    <w:rsid w:val="00B669A9"/>
    <w:rsid w:val="00B71B36"/>
    <w:rsid w:val="00B72269"/>
    <w:rsid w:val="00B76EF5"/>
    <w:rsid w:val="00B80765"/>
    <w:rsid w:val="00B86BB4"/>
    <w:rsid w:val="00BB5FD2"/>
    <w:rsid w:val="00BB7310"/>
    <w:rsid w:val="00BC0BF6"/>
    <w:rsid w:val="00BE7FB6"/>
    <w:rsid w:val="00C011A0"/>
    <w:rsid w:val="00C0276B"/>
    <w:rsid w:val="00C14820"/>
    <w:rsid w:val="00C524AD"/>
    <w:rsid w:val="00C56045"/>
    <w:rsid w:val="00C7142F"/>
    <w:rsid w:val="00C747E9"/>
    <w:rsid w:val="00C76E56"/>
    <w:rsid w:val="00C85937"/>
    <w:rsid w:val="00CB48F4"/>
    <w:rsid w:val="00CC7081"/>
    <w:rsid w:val="00CD563D"/>
    <w:rsid w:val="00CF2E93"/>
    <w:rsid w:val="00CF6B98"/>
    <w:rsid w:val="00D7535D"/>
    <w:rsid w:val="00D82AAD"/>
    <w:rsid w:val="00D93E92"/>
    <w:rsid w:val="00DB5F65"/>
    <w:rsid w:val="00E01C1A"/>
    <w:rsid w:val="00E03419"/>
    <w:rsid w:val="00E07D01"/>
    <w:rsid w:val="00E31CB6"/>
    <w:rsid w:val="00E53A78"/>
    <w:rsid w:val="00E6240F"/>
    <w:rsid w:val="00E73BD9"/>
    <w:rsid w:val="00E76B82"/>
    <w:rsid w:val="00E864FF"/>
    <w:rsid w:val="00E87F69"/>
    <w:rsid w:val="00E91F94"/>
    <w:rsid w:val="00E92D2D"/>
    <w:rsid w:val="00EA5D82"/>
    <w:rsid w:val="00EC403D"/>
    <w:rsid w:val="00EF2D6C"/>
    <w:rsid w:val="00F05851"/>
    <w:rsid w:val="00F34FEC"/>
    <w:rsid w:val="00F37D81"/>
    <w:rsid w:val="00F41B13"/>
    <w:rsid w:val="00F57874"/>
    <w:rsid w:val="00F6775E"/>
    <w:rsid w:val="00F8283F"/>
    <w:rsid w:val="00F84AE7"/>
    <w:rsid w:val="00FB2AFB"/>
    <w:rsid w:val="00FB3453"/>
    <w:rsid w:val="00FB37ED"/>
    <w:rsid w:val="00FD29BD"/>
    <w:rsid w:val="00FD751B"/>
    <w:rsid w:val="475E6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5"/>
    <w:unhideWhenUsed/>
    <w:uiPriority w:val="99"/>
    <w:rPr>
      <w:b/>
      <w:bCs/>
    </w:rPr>
  </w:style>
  <w:style w:type="paragraph" w:styleId="3">
    <w:name w:val="annotation text"/>
    <w:basedOn w:val="1"/>
    <w:link w:val="14"/>
    <w:unhideWhenUsed/>
    <w:uiPriority w:val="99"/>
    <w:pPr>
      <w:jc w:val="left"/>
    </w:pPr>
  </w:style>
  <w:style w:type="paragraph" w:styleId="4">
    <w:name w:val="Balloon Text"/>
    <w:basedOn w:val="1"/>
    <w:link w:val="13"/>
    <w:unhideWhenUsed/>
    <w:uiPriority w:val="99"/>
    <w:rPr>
      <w:sz w:val="18"/>
      <w:szCs w:val="18"/>
    </w:rPr>
  </w:style>
  <w:style w:type="paragraph" w:styleId="5">
    <w:name w:val="footer"/>
    <w:basedOn w:val="1"/>
    <w:link w:val="10"/>
    <w:unhideWhenUsed/>
    <w:uiPriority w:val="99"/>
    <w:pPr>
      <w:tabs>
        <w:tab w:val="center" w:pos="4153"/>
        <w:tab w:val="right" w:pos="8306"/>
      </w:tabs>
      <w:snapToGrid w:val="0"/>
      <w:jc w:val="left"/>
    </w:pPr>
    <w:rPr>
      <w:kern w:val="0"/>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uiPriority w:val="99"/>
    <w:rPr>
      <w:sz w:val="21"/>
      <w:szCs w:val="21"/>
    </w:rPr>
  </w:style>
  <w:style w:type="character" w:customStyle="1" w:styleId="10">
    <w:name w:val="页脚 Char"/>
    <w:link w:val="5"/>
    <w:uiPriority w:val="99"/>
    <w:rPr>
      <w:rFonts w:ascii="Calibri" w:hAnsi="Calibri" w:eastAsia="宋体" w:cs="Times New Roman"/>
      <w:sz w:val="18"/>
      <w:szCs w:val="18"/>
    </w:rPr>
  </w:style>
  <w:style w:type="character" w:customStyle="1" w:styleId="11">
    <w:name w:val="页眉 Char"/>
    <w:link w:val="6"/>
    <w:semiHidden/>
    <w:uiPriority w:val="99"/>
    <w:rPr>
      <w:kern w:val="2"/>
      <w:sz w:val="18"/>
      <w:szCs w:val="18"/>
    </w:rPr>
  </w:style>
  <w:style w:type="character" w:customStyle="1" w:styleId="12">
    <w:name w:val="trans"/>
    <w:basedOn w:val="7"/>
    <w:uiPriority w:val="0"/>
  </w:style>
  <w:style w:type="character" w:customStyle="1" w:styleId="13">
    <w:name w:val="批注框文本 Char"/>
    <w:basedOn w:val="7"/>
    <w:link w:val="4"/>
    <w:semiHidden/>
    <w:uiPriority w:val="99"/>
    <w:rPr>
      <w:kern w:val="2"/>
      <w:sz w:val="18"/>
      <w:szCs w:val="18"/>
    </w:rPr>
  </w:style>
  <w:style w:type="character" w:customStyle="1" w:styleId="14">
    <w:name w:val="批注文字 Char"/>
    <w:basedOn w:val="7"/>
    <w:link w:val="3"/>
    <w:semiHidden/>
    <w:uiPriority w:val="99"/>
    <w:rPr>
      <w:kern w:val="2"/>
      <w:sz w:val="21"/>
      <w:szCs w:val="22"/>
    </w:rPr>
  </w:style>
  <w:style w:type="character" w:customStyle="1" w:styleId="15">
    <w:name w:val="批注主题 Char"/>
    <w:basedOn w:val="14"/>
    <w:link w:val="2"/>
    <w:semiHidden/>
    <w:uiPriority w:val="99"/>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753655-77DE-424C-8023-40EC8D0C9834}">
  <ds:schemaRefs/>
</ds:datastoreItem>
</file>

<file path=docProps/app.xml><?xml version="1.0" encoding="utf-8"?>
<Properties xmlns="http://schemas.openxmlformats.org/officeDocument/2006/extended-properties" xmlns:vt="http://schemas.openxmlformats.org/officeDocument/2006/docPropsVTypes">
  <Template>Normal.dotm</Template>
  <Company>DELLNBX</Company>
  <Pages>3</Pages>
  <Words>679</Words>
  <Characters>3872</Characters>
  <Lines>32</Lines>
  <Paragraphs>9</Paragraphs>
  <TotalTime>0</TotalTime>
  <ScaleCrop>false</ScaleCrop>
  <LinksUpToDate>false</LinksUpToDate>
  <CharactersWithSpaces>4542</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2015-08-04T10:05:00Z</dcterms:created>
  <dc:creator>PanKuo</dc:creator>
  <cp:lastModifiedBy>林安语(2016100070)</cp:lastModifiedBy>
  <dcterms:modified xsi:type="dcterms:W3CDTF">2017-09-13T03:47:44Z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